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19"/>
        <w:tblOverlap w:val="never"/>
        <w:tblW w:w="9885" w:type="dxa"/>
        <w:tblLayout w:type="fixed"/>
        <w:tblLook w:val="00A0"/>
      </w:tblPr>
      <w:tblGrid>
        <w:gridCol w:w="5918"/>
        <w:gridCol w:w="3967"/>
      </w:tblGrid>
      <w:tr w:rsidR="009B53B6" w:rsidTr="009B53B6">
        <w:trPr>
          <w:trHeight w:val="2131"/>
        </w:trPr>
        <w:tc>
          <w:tcPr>
            <w:tcW w:w="5918" w:type="dxa"/>
          </w:tcPr>
          <w:p w:rsidR="009B53B6" w:rsidRDefault="009B53B6" w:rsidP="009B53B6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bCs/>
                <w:szCs w:val="28"/>
              </w:rPr>
              <w:t>СОГЛАСОВАНО:</w:t>
            </w:r>
          </w:p>
          <w:p w:rsidR="009B53B6" w:rsidRDefault="009B53B6" w:rsidP="009B53B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Председатель первичной </w:t>
            </w:r>
          </w:p>
          <w:p w:rsidR="009B53B6" w:rsidRDefault="009B53B6" w:rsidP="009B53B6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профсоюзной организации </w:t>
            </w:r>
            <w:r>
              <w:rPr>
                <w:szCs w:val="28"/>
              </w:rPr>
              <w:t xml:space="preserve"> </w:t>
            </w:r>
          </w:p>
          <w:p w:rsidR="009B53B6" w:rsidRDefault="009B53B6" w:rsidP="009B53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ДО СШСБ</w:t>
            </w:r>
          </w:p>
          <w:p w:rsidR="009B53B6" w:rsidRDefault="009B53B6" w:rsidP="009B53B6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МО Лабинский район</w:t>
            </w:r>
            <w:r>
              <w:rPr>
                <w:bCs/>
                <w:szCs w:val="28"/>
              </w:rPr>
              <w:t xml:space="preserve">  </w:t>
            </w:r>
          </w:p>
          <w:p w:rsidR="009B53B6" w:rsidRDefault="009B53B6" w:rsidP="009B53B6">
            <w:pPr>
              <w:jc w:val="both"/>
              <w:rPr>
                <w:bCs/>
                <w:szCs w:val="28"/>
              </w:rPr>
            </w:pPr>
          </w:p>
          <w:p w:rsidR="009B53B6" w:rsidRDefault="009B53B6" w:rsidP="009B53B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____________/П.О. Евграфов</w:t>
            </w:r>
          </w:p>
          <w:p w:rsidR="009B53B6" w:rsidRDefault="009B53B6" w:rsidP="009B53B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 ____________ 2024 г.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</w:p>
          <w:p w:rsidR="009B53B6" w:rsidRDefault="009B53B6" w:rsidP="009B53B6">
            <w:pPr>
              <w:rPr>
                <w:bCs/>
                <w:szCs w:val="28"/>
              </w:rPr>
            </w:pPr>
          </w:p>
          <w:p w:rsidR="009B53B6" w:rsidRDefault="009B53B6" w:rsidP="009B53B6">
            <w:pPr>
              <w:rPr>
                <w:bCs/>
                <w:sz w:val="22"/>
                <w:szCs w:val="28"/>
              </w:rPr>
            </w:pPr>
          </w:p>
        </w:tc>
        <w:tc>
          <w:tcPr>
            <w:tcW w:w="3967" w:type="dxa"/>
          </w:tcPr>
          <w:p w:rsidR="009B53B6" w:rsidRDefault="009B53B6" w:rsidP="009B53B6">
            <w:pPr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УТВЕРЖДЕНО:</w:t>
            </w:r>
          </w:p>
          <w:p w:rsidR="009B53B6" w:rsidRDefault="009B53B6" w:rsidP="009B53B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9B53B6" w:rsidRDefault="009B53B6" w:rsidP="009B53B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МБУ ДО СШСБ</w:t>
            </w:r>
          </w:p>
          <w:p w:rsidR="009B53B6" w:rsidRDefault="009B53B6" w:rsidP="009B53B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МО Лабинский район</w:t>
            </w:r>
          </w:p>
          <w:p w:rsidR="009B53B6" w:rsidRDefault="009B53B6" w:rsidP="009B53B6">
            <w:pPr>
              <w:jc w:val="left"/>
              <w:rPr>
                <w:szCs w:val="28"/>
              </w:rPr>
            </w:pPr>
          </w:p>
          <w:p w:rsidR="009B53B6" w:rsidRDefault="009B53B6" w:rsidP="009B53B6">
            <w:pPr>
              <w:jc w:val="left"/>
              <w:rPr>
                <w:szCs w:val="28"/>
              </w:rPr>
            </w:pPr>
          </w:p>
          <w:p w:rsidR="009B53B6" w:rsidRDefault="009B53B6" w:rsidP="009B53B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_______________/И.Р. Голуб</w:t>
            </w:r>
          </w:p>
          <w:p w:rsidR="009B53B6" w:rsidRDefault="009B53B6" w:rsidP="009B53B6">
            <w:pPr>
              <w:keepNext/>
              <w:jc w:val="left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 ____________ 2024 г.</w:t>
            </w:r>
          </w:p>
          <w:p w:rsidR="009B53B6" w:rsidRDefault="009B53B6" w:rsidP="009B53B6">
            <w:pPr>
              <w:keepNext/>
              <w:outlineLvl w:val="0"/>
              <w:rPr>
                <w:bCs/>
                <w:sz w:val="22"/>
                <w:szCs w:val="28"/>
              </w:rPr>
            </w:pPr>
          </w:p>
        </w:tc>
      </w:tr>
    </w:tbl>
    <w:p w:rsidR="007535B5" w:rsidRDefault="007535B5" w:rsidP="005D1FCD"/>
    <w:p w:rsidR="007535B5" w:rsidRDefault="007535B5" w:rsidP="009B53B6">
      <w:pPr>
        <w:jc w:val="both"/>
        <w:rPr>
          <w:b/>
        </w:rPr>
      </w:pPr>
    </w:p>
    <w:p w:rsidR="007535B5" w:rsidRDefault="007535B5" w:rsidP="005D1FCD">
      <w:pPr>
        <w:rPr>
          <w:b/>
        </w:rPr>
      </w:pPr>
    </w:p>
    <w:p w:rsidR="007535B5" w:rsidRDefault="007535B5" w:rsidP="005D1FCD">
      <w:pPr>
        <w:rPr>
          <w:b/>
        </w:rPr>
      </w:pPr>
    </w:p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.Настоящее Положение разработано в соответствии с Федер</w:t>
      </w:r>
      <w:r>
        <w:t>альным законом от 25.12.2008 №2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Учреждения и </w:t>
      </w:r>
      <w:r w:rsidR="003721D5">
        <w:t>иных</w:t>
      </w:r>
      <w:r w:rsidRPr="00E92D79">
        <w:t xml:space="preserve"> локальных актов Учреждения</w:t>
      </w:r>
      <w:r w:rsidR="007535B5">
        <w:t>.</w:t>
      </w:r>
    </w:p>
    <w:p w:rsidR="007535B5" w:rsidRDefault="00045238" w:rsidP="007535B5">
      <w:pPr>
        <w:pBdr>
          <w:bottom w:val="single" w:sz="4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9B53B6">
        <w:t xml:space="preserve"> </w:t>
      </w:r>
      <w:r>
        <w:t>П</w:t>
      </w:r>
      <w:r w:rsidR="00262B13">
        <w:t>оложение</w:t>
      </w:r>
      <w:r w:rsidR="0028590C">
        <w:t>м</w:t>
      </w:r>
      <w:r w:rsidR="009B53B6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866C9E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</w:p>
    <w:p w:rsidR="00F82B72" w:rsidRDefault="007535B5" w:rsidP="007535B5">
      <w:pPr>
        <w:pBdr>
          <w:bottom w:val="single" w:sz="4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Муниципального бюджетного учреждения</w:t>
      </w:r>
      <w:r w:rsidR="009B53B6">
        <w:rPr>
          <w:rFonts w:eastAsiaTheme="minorHAnsi" w:cs="Times New Roman"/>
          <w:szCs w:val="28"/>
        </w:rPr>
        <w:t xml:space="preserve"> дополнительного образования</w:t>
      </w:r>
      <w:r>
        <w:rPr>
          <w:rFonts w:eastAsiaTheme="minorHAnsi" w:cs="Times New Roman"/>
          <w:szCs w:val="28"/>
        </w:rPr>
        <w:t xml:space="preserve"> спортивной школы </w:t>
      </w:r>
      <w:r w:rsidR="004F0CA1">
        <w:rPr>
          <w:rFonts w:eastAsiaTheme="minorHAnsi" w:cs="Times New Roman"/>
          <w:szCs w:val="28"/>
        </w:rPr>
        <w:t>спортивной борьбы</w:t>
      </w:r>
      <w:r>
        <w:rPr>
          <w:rFonts w:eastAsiaTheme="minorHAnsi" w:cs="Times New Roman"/>
          <w:szCs w:val="28"/>
        </w:rPr>
        <w:t xml:space="preserve"> муниципального образования Лабинский район</w:t>
      </w:r>
    </w:p>
    <w:p w:rsidR="008B5793" w:rsidRPr="00DB732B" w:rsidRDefault="00DB732B" w:rsidP="00E36A35">
      <w:pPr>
        <w:autoSpaceDE w:val="0"/>
        <w:autoSpaceDN w:val="0"/>
        <w:adjustRightInd w:val="0"/>
        <w:ind w:firstLine="540"/>
        <w:rPr>
          <w:rFonts w:eastAsiaTheme="minorHAnsi" w:cs="Times New Roman"/>
          <w:szCs w:val="28"/>
        </w:rPr>
      </w:pPr>
      <w:r w:rsidRPr="00F82B72">
        <w:rPr>
          <w:i/>
          <w:sz w:val="22"/>
        </w:rPr>
        <w:t>(наименование муниципального учреждения</w:t>
      </w:r>
      <w:r w:rsidR="007535B5">
        <w:rPr>
          <w:i/>
          <w:sz w:val="22"/>
        </w:rPr>
        <w:t>)</w:t>
      </w:r>
      <w:r w:rsidR="009E2BFE">
        <w:rPr>
          <w:sz w:val="22"/>
        </w:rPr>
        <w:br/>
      </w:r>
      <w:r w:rsidRPr="00DB732B">
        <w:t>в ходе выполнения ими служебных (должностных)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>я на всех работников Учреждения 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индивидуальное рассмотрение и оценка ре</w:t>
      </w:r>
      <w:r w:rsidR="008026A5">
        <w:rPr>
          <w:sz w:val="28"/>
          <w:szCs w:val="28"/>
        </w:rPr>
        <w:t>путационных рисков для У</w:t>
      </w:r>
      <w:r>
        <w:rPr>
          <w:sz w:val="28"/>
          <w:szCs w:val="28"/>
        </w:rPr>
        <w:t xml:space="preserve">чреждения 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BE7B72" w:rsidRPr="00BE7B72">
        <w:rPr>
          <w:szCs w:val="28"/>
        </w:rPr>
        <w:t xml:space="preserve">чреждения 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 xml:space="preserve">чреждения 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чреждением</w:t>
      </w:r>
      <w:r w:rsidR="007535B5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t>Обязанности работника Учреждения 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866C9E">
        <w:rPr>
          <w:rFonts w:eastAsia="Times New Roman" w:cs="Calibri"/>
          <w:color w:val="auto"/>
          <w:sz w:val="28"/>
          <w:szCs w:val="22"/>
        </w:rPr>
        <w:t xml:space="preserve">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7535B5">
        <w:rPr>
          <w:sz w:val="28"/>
          <w:szCs w:val="28"/>
        </w:rPr>
        <w:t xml:space="preserve">твоваться интересами Учреждения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1D7880">
        <w:rPr>
          <w:sz w:val="28"/>
          <w:szCs w:val="28"/>
        </w:rPr>
        <w:t>У</w:t>
      </w:r>
      <w:r w:rsidR="007535B5">
        <w:rPr>
          <w:sz w:val="28"/>
          <w:szCs w:val="28"/>
        </w:rPr>
        <w:t>чреждения</w:t>
      </w:r>
      <w:r w:rsidR="0086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86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 w:rsidR="007535B5">
        <w:rPr>
          <w:sz w:val="28"/>
          <w:szCs w:val="28"/>
        </w:rPr>
        <w:t>чреждения.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F837F1" w:rsidRDefault="004325B4" w:rsidP="008026A5">
      <w:pPr>
        <w:pStyle w:val="Default"/>
        <w:numPr>
          <w:ilvl w:val="0"/>
          <w:numId w:val="1"/>
        </w:numPr>
        <w:tabs>
          <w:tab w:val="left" w:pos="1380"/>
          <w:tab w:val="center" w:pos="4677"/>
        </w:tabs>
        <w:jc w:val="both"/>
      </w:pPr>
      <w:r w:rsidRPr="007535B5">
        <w:rPr>
          <w:b/>
          <w:sz w:val="28"/>
          <w:szCs w:val="28"/>
        </w:rPr>
        <w:t xml:space="preserve">Порядок </w:t>
      </w:r>
      <w:r w:rsidR="00BF7556" w:rsidRPr="007535B5">
        <w:rPr>
          <w:b/>
          <w:sz w:val="28"/>
          <w:szCs w:val="28"/>
        </w:rPr>
        <w:t xml:space="preserve">раскрытия конфликта интересов </w:t>
      </w:r>
      <w:r w:rsidR="003721D5" w:rsidRPr="007535B5">
        <w:rPr>
          <w:b/>
          <w:sz w:val="28"/>
          <w:szCs w:val="28"/>
        </w:rPr>
        <w:t>работником Учреждения</w:t>
      </w:r>
    </w:p>
    <w:p w:rsidR="00C05231" w:rsidRPr="00306BBD" w:rsidRDefault="0003055D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Учреждении</w:t>
      </w:r>
      <w:r w:rsidR="007535B5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C01A21" w:rsidRDefault="00783CAA" w:rsidP="00C01A21">
      <w:pPr>
        <w:pStyle w:val="a5"/>
        <w:numPr>
          <w:ilvl w:val="0"/>
          <w:numId w:val="1"/>
        </w:numPr>
      </w:pPr>
      <w:r w:rsidRPr="007535B5">
        <w:rPr>
          <w:b/>
        </w:rPr>
        <w:t xml:space="preserve">Механизм предотвращения и </w:t>
      </w:r>
      <w:r w:rsidR="00C01A21" w:rsidRPr="007535B5">
        <w:rPr>
          <w:b/>
        </w:rPr>
        <w:t>урегулирования конфликта интересов в Учреждении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 w:rsidR="007535B5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>обязаны принимать меры по предотвращению ситуации</w:t>
      </w:r>
      <w:r w:rsidR="00866C9E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535B5">
        <w:rPr>
          <w:sz w:val="28"/>
          <w:szCs w:val="28"/>
        </w:rPr>
        <w:t xml:space="preserve">Конфликт интересов в Учреждении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</w:t>
      </w:r>
      <w:r w:rsidR="007535B5">
        <w:rPr>
          <w:sz w:val="28"/>
          <w:szCs w:val="28"/>
        </w:rPr>
        <w:t xml:space="preserve">ие доступа работника Учреждения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Учреждения;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>отказ работника Учреждения от своего личного интереса, порождающего конфликт с интересами Учреждения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>чреждения</w:t>
      </w:r>
      <w:r w:rsidR="007535B5">
        <w:t>.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7535B5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>6.1. Работник Учреждения</w:t>
      </w:r>
      <w:r w:rsidR="00866C9E">
        <w:rPr>
          <w:rFonts w:eastAsia="Times New Roman" w:cs="Calibri"/>
          <w:color w:val="000000" w:themeColor="text1"/>
          <w:sz w:val="28"/>
          <w:szCs w:val="22"/>
        </w:rPr>
        <w:t xml:space="preserve"> </w:t>
      </w:r>
      <w:r w:rsidR="008A05E0"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="008A05E0"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 w:rsidR="008A05E0"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="008A05E0"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7535B5">
        <w:rPr>
          <w:rFonts w:eastAsia="Times New Roman"/>
          <w:color w:val="000000" w:themeColor="text1"/>
          <w:sz w:val="28"/>
          <w:szCs w:val="28"/>
        </w:rPr>
        <w:t>случае если работник Учреждения</w:t>
      </w:r>
      <w:r w:rsidR="00866C9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="007535B5">
        <w:rPr>
          <w:rFonts w:ascii="Times New Roman" w:hAnsi="Times New Roman" w:cs="Times New Roman"/>
          <w:sz w:val="28"/>
          <w:szCs w:val="22"/>
          <w:lang w:eastAsia="en-US"/>
        </w:rPr>
        <w:t xml:space="preserve">Учреждения </w:t>
      </w:r>
      <w:r>
        <w:rPr>
          <w:rFonts w:ascii="Times New Roman" w:hAnsi="Times New Roman"/>
          <w:sz w:val="28"/>
          <w:szCs w:val="22"/>
          <w:lang w:eastAsia="en-US"/>
        </w:rPr>
        <w:t>подлежит обязательной регистрации. Прием, регистрацию и учет поступивших уведомлений осуществляет лицо, ответственное за работу по профилакт</w:t>
      </w:r>
      <w:r w:rsidR="007535B5">
        <w:rPr>
          <w:rFonts w:ascii="Times New Roman" w:hAnsi="Times New Roman"/>
          <w:sz w:val="28"/>
          <w:szCs w:val="22"/>
          <w:lang w:eastAsia="en-US"/>
        </w:rPr>
        <w:t>ике коррупционных правонарушений.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 xml:space="preserve">о возникновении у работников </w:t>
      </w:r>
      <w:r w:rsidRPr="009A6C04">
        <w:rPr>
          <w:sz w:val="28"/>
          <w:szCs w:val="22"/>
        </w:rPr>
        <w:lastRenderedPageBreak/>
        <w:t>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</w:t>
      </w:r>
      <w:r w:rsidR="00866C9E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7535B5" w:rsidRPr="007535B5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Муниципальном бюджетном учреждении спортивной школе </w:t>
      </w:r>
      <w:r w:rsidR="004F0CA1">
        <w:rPr>
          <w:rFonts w:ascii="Times New Roman" w:eastAsiaTheme="minorHAnsi" w:hAnsi="Times New Roman" w:cs="Times New Roman"/>
          <w:sz w:val="28"/>
          <w:szCs w:val="28"/>
        </w:rPr>
        <w:t>спортивной борьбы</w:t>
      </w:r>
      <w:r w:rsidR="007535B5" w:rsidRPr="007535B5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образования Лабинский район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</w:t>
      </w:r>
      <w:r w:rsidR="007535B5">
        <w:rPr>
          <w:rFonts w:ascii="Times New Roman" w:hAnsi="Times New Roman"/>
          <w:sz w:val="28"/>
          <w:szCs w:val="22"/>
          <w:lang w:eastAsia="en-US"/>
        </w:rPr>
        <w:t>ных правонарушений в Учреждении.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 w:rsidR="007535B5">
        <w:rPr>
          <w:sz w:val="28"/>
          <w:szCs w:val="28"/>
        </w:rPr>
        <w:t>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 w:rsidR="00866C9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сообщение__________________________________«__»_________20__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4F0CA1">
        <w:tc>
          <w:tcPr>
            <w:tcW w:w="567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 номер</w:t>
            </w:r>
          </w:p>
        </w:tc>
        <w:tc>
          <w:tcPr>
            <w:tcW w:w="1275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  <w:vAlign w:val="center"/>
          </w:tcPr>
          <w:p w:rsidR="00B27F8D" w:rsidRPr="00F91CF4" w:rsidRDefault="00B27F8D" w:rsidP="004F0CA1">
            <w:pPr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13" w:rsidRDefault="005E0F13" w:rsidP="00F4667E">
      <w:r>
        <w:separator/>
      </w:r>
    </w:p>
  </w:endnote>
  <w:endnote w:type="continuationSeparator" w:id="1">
    <w:p w:rsidR="005E0F13" w:rsidRDefault="005E0F13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13" w:rsidRDefault="005E0F13" w:rsidP="00F4667E">
      <w:r>
        <w:separator/>
      </w:r>
    </w:p>
  </w:footnote>
  <w:footnote w:type="continuationSeparator" w:id="1">
    <w:p w:rsidR="005E0F13" w:rsidRDefault="005E0F13" w:rsidP="00F4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40382F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FCD"/>
    <w:rsid w:val="0002563F"/>
    <w:rsid w:val="0003055D"/>
    <w:rsid w:val="00033ED6"/>
    <w:rsid w:val="00045238"/>
    <w:rsid w:val="00054563"/>
    <w:rsid w:val="000606CF"/>
    <w:rsid w:val="000630C7"/>
    <w:rsid w:val="000A5071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282B"/>
    <w:rsid w:val="00324BB6"/>
    <w:rsid w:val="00364A81"/>
    <w:rsid w:val="003721D5"/>
    <w:rsid w:val="00395692"/>
    <w:rsid w:val="003C3F31"/>
    <w:rsid w:val="0040382F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0CA1"/>
    <w:rsid w:val="004F1799"/>
    <w:rsid w:val="004F2916"/>
    <w:rsid w:val="00507D1A"/>
    <w:rsid w:val="00514283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0F13"/>
    <w:rsid w:val="005E4529"/>
    <w:rsid w:val="006125AB"/>
    <w:rsid w:val="006544A0"/>
    <w:rsid w:val="0068127D"/>
    <w:rsid w:val="006E59FE"/>
    <w:rsid w:val="006F651D"/>
    <w:rsid w:val="006F6EF9"/>
    <w:rsid w:val="00742695"/>
    <w:rsid w:val="007535B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66C9E"/>
    <w:rsid w:val="008A05E0"/>
    <w:rsid w:val="008A777E"/>
    <w:rsid w:val="008B5793"/>
    <w:rsid w:val="009251F1"/>
    <w:rsid w:val="00943DC7"/>
    <w:rsid w:val="009542EC"/>
    <w:rsid w:val="00956874"/>
    <w:rsid w:val="009A6C04"/>
    <w:rsid w:val="009B53B6"/>
    <w:rsid w:val="009E2BFE"/>
    <w:rsid w:val="00A127B3"/>
    <w:rsid w:val="00A41908"/>
    <w:rsid w:val="00A512E8"/>
    <w:rsid w:val="00A75C47"/>
    <w:rsid w:val="00A77B70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30303"/>
    <w:rsid w:val="00E36A35"/>
    <w:rsid w:val="00E4076A"/>
    <w:rsid w:val="00E475CC"/>
    <w:rsid w:val="00E71F52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FC208-BF2D-4C88-A110-063AC376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</cp:lastModifiedBy>
  <cp:revision>6</cp:revision>
  <cp:lastPrinted>2022-03-10T05:31:00Z</cp:lastPrinted>
  <dcterms:created xsi:type="dcterms:W3CDTF">2021-12-09T07:14:00Z</dcterms:created>
  <dcterms:modified xsi:type="dcterms:W3CDTF">2024-08-07T09:24:00Z</dcterms:modified>
</cp:coreProperties>
</file>